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4D67" w14:textId="0D5698C0" w:rsidR="00293CAC" w:rsidRDefault="00293CAC" w:rsidP="00293CAC">
      <w:pPr>
        <w:shd w:val="clear" w:color="auto" w:fill="FFFFFF"/>
        <w:spacing w:after="150"/>
        <w:jc w:val="center"/>
        <w:outlineLvl w:val="2"/>
        <w:rPr>
          <w:rFonts w:ascii="Open Sans" w:eastAsia="Times New Roman" w:hAnsi="Open Sans" w:cs="Open Sans"/>
          <w:b/>
          <w:bCs/>
          <w:color w:val="707070"/>
          <w:sz w:val="27"/>
          <w:szCs w:val="27"/>
          <w:lang w:eastAsia="fr-FR"/>
        </w:rPr>
      </w:pPr>
      <w:r>
        <w:rPr>
          <w:rFonts w:ascii="Open Sans" w:eastAsia="Times New Roman" w:hAnsi="Open Sans" w:cs="Open Sans"/>
          <w:b/>
          <w:bCs/>
          <w:color w:val="707070"/>
          <w:sz w:val="27"/>
          <w:szCs w:val="27"/>
          <w:lang w:eastAsia="fr-FR"/>
        </w:rPr>
        <w:t>CONDITIONS GENERALES DE VENTE (CGV) :</w:t>
      </w:r>
    </w:p>
    <w:p w14:paraId="553E2DBC" w14:textId="4C8F0EE3" w:rsidR="00293CAC" w:rsidRPr="00293CAC" w:rsidRDefault="00293CAC" w:rsidP="00293CAC">
      <w:pPr>
        <w:shd w:val="clear" w:color="auto" w:fill="FFFFFF"/>
        <w:spacing w:after="150"/>
        <w:jc w:val="center"/>
        <w:outlineLvl w:val="2"/>
        <w:rPr>
          <w:rFonts w:ascii="Open Sans" w:eastAsia="Times New Roman" w:hAnsi="Open Sans" w:cs="Open Sans"/>
          <w:b/>
          <w:bCs/>
          <w:color w:val="707070"/>
          <w:sz w:val="27"/>
          <w:szCs w:val="27"/>
          <w:lang w:eastAsia="fr-FR"/>
        </w:rPr>
      </w:pPr>
      <w:r w:rsidRPr="00293CAC">
        <w:rPr>
          <w:rFonts w:ascii="Open Sans" w:eastAsia="Times New Roman" w:hAnsi="Open Sans" w:cs="Open Sans"/>
          <w:b/>
          <w:bCs/>
          <w:color w:val="707070"/>
          <w:sz w:val="27"/>
          <w:szCs w:val="27"/>
          <w:lang w:eastAsia="fr-FR"/>
        </w:rPr>
        <w:t>BILAN DE COMPÉTENCES</w:t>
      </w:r>
      <w:r>
        <w:rPr>
          <w:rFonts w:ascii="Open Sans" w:eastAsia="Times New Roman" w:hAnsi="Open Sans" w:cs="Open Sans"/>
          <w:b/>
          <w:bCs/>
          <w:color w:val="707070"/>
          <w:sz w:val="27"/>
          <w:szCs w:val="27"/>
          <w:lang w:eastAsia="fr-FR"/>
        </w:rPr>
        <w:t xml:space="preserve"> </w:t>
      </w:r>
      <w:r w:rsidRPr="00293CAC">
        <w:rPr>
          <w:rFonts w:ascii="Open Sans" w:eastAsia="Times New Roman" w:hAnsi="Open Sans" w:cs="Open Sans"/>
          <w:b/>
          <w:bCs/>
          <w:color w:val="707070"/>
          <w:sz w:val="27"/>
          <w:szCs w:val="27"/>
          <w:lang w:eastAsia="fr-FR"/>
        </w:rPr>
        <w:t>– FORMATION PROFESSIONNELLE</w:t>
      </w:r>
    </w:p>
    <w:p w14:paraId="46049893" w14:textId="4E2EAB88"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395E2083"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 : DÉFINITIONS</w:t>
      </w:r>
    </w:p>
    <w:p w14:paraId="6B1204A6" w14:textId="65C43AB3" w:rsidR="00293CAC" w:rsidRPr="00293CAC" w:rsidRDefault="00293CAC" w:rsidP="00293CAC">
      <w:pPr>
        <w:shd w:val="clear" w:color="auto" w:fill="FFFFFF"/>
        <w:spacing w:beforeAutospacing="1" w:afterAutospacing="1"/>
        <w:rPr>
          <w:rFonts w:ascii="Open Sans" w:eastAsia="Times New Roman" w:hAnsi="Open Sans" w:cs="Open Sans"/>
          <w:color w:val="707070"/>
          <w:lang w:eastAsia="fr-FR"/>
        </w:rPr>
      </w:pPr>
      <w:r w:rsidRPr="00293CAC">
        <w:rPr>
          <w:rFonts w:ascii="inherit" w:eastAsia="Times New Roman" w:hAnsi="inherit" w:cs="Open Sans"/>
          <w:b/>
          <w:bCs/>
          <w:color w:val="707070"/>
          <w:bdr w:val="none" w:sz="0" w:space="0" w:color="auto" w:frame="1"/>
          <w:lang w:eastAsia="fr-FR"/>
        </w:rPr>
        <w:t>Client :</w:t>
      </w:r>
      <w:r w:rsidRPr="00293CAC">
        <w:rPr>
          <w:rFonts w:ascii="Open Sans" w:eastAsia="Times New Roman" w:hAnsi="Open Sans" w:cs="Open Sans"/>
          <w:color w:val="707070"/>
          <w:lang w:eastAsia="fr-FR"/>
        </w:rPr>
        <w:t xml:space="preserve"> co-contractant </w:t>
      </w:r>
      <w:proofErr w:type="spellStart"/>
      <w:r w:rsidR="00F445A6">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w:t>
      </w:r>
    </w:p>
    <w:p w14:paraId="2D4943F3" w14:textId="77777777" w:rsidR="00293CAC" w:rsidRPr="00293CAC" w:rsidRDefault="00293CAC" w:rsidP="00293CAC">
      <w:pPr>
        <w:shd w:val="clear" w:color="auto" w:fill="FFFFFF"/>
        <w:spacing w:beforeAutospacing="1" w:afterAutospacing="1"/>
        <w:rPr>
          <w:rFonts w:ascii="Open Sans" w:eastAsia="Times New Roman" w:hAnsi="Open Sans" w:cs="Open Sans"/>
          <w:color w:val="707070"/>
          <w:lang w:eastAsia="fr-FR"/>
        </w:rPr>
      </w:pPr>
      <w:r w:rsidRPr="00293CAC">
        <w:rPr>
          <w:rFonts w:ascii="inherit" w:eastAsia="Times New Roman" w:hAnsi="inherit" w:cs="Open Sans"/>
          <w:b/>
          <w:bCs/>
          <w:color w:val="707070"/>
          <w:bdr w:val="none" w:sz="0" w:space="0" w:color="auto" w:frame="1"/>
          <w:lang w:eastAsia="fr-FR"/>
        </w:rPr>
        <w:t>Formation :</w:t>
      </w:r>
      <w:r w:rsidRPr="00293CAC">
        <w:rPr>
          <w:rFonts w:ascii="Open Sans" w:eastAsia="Times New Roman" w:hAnsi="Open Sans" w:cs="Open Sans"/>
          <w:color w:val="707070"/>
          <w:lang w:eastAsia="fr-FR"/>
        </w:rPr>
        <w:t> toute action relevant du champ de la formation professionnelle continue (</w:t>
      </w:r>
      <w:r w:rsidRPr="00293CAC">
        <w:rPr>
          <w:rFonts w:ascii="inherit" w:eastAsia="Times New Roman" w:hAnsi="inherit" w:cs="Open Sans"/>
          <w:i/>
          <w:iCs/>
          <w:color w:val="707070"/>
          <w:bdr w:val="none" w:sz="0" w:space="0" w:color="auto" w:frame="1"/>
          <w:lang w:eastAsia="fr-FR"/>
        </w:rPr>
        <w:t>L. 6313-1 du Code du travail</w:t>
      </w:r>
      <w:r w:rsidRPr="00293CAC">
        <w:rPr>
          <w:rFonts w:ascii="Open Sans" w:eastAsia="Times New Roman" w:hAnsi="Open Sans" w:cs="Open Sans"/>
          <w:color w:val="707070"/>
          <w:lang w:eastAsia="fr-FR"/>
        </w:rPr>
        <w:t>) y compris Bilan de compétences, Accompagnement à la V.A.E et Accompagnement à la création/reprise d’entreprise.</w:t>
      </w:r>
    </w:p>
    <w:p w14:paraId="6EC08DA0"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6C0636D9"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2 : OBJET ET CHAMP D’APPLICATION</w:t>
      </w:r>
    </w:p>
    <w:p w14:paraId="45730942"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Toute commande de Formation implique l’acceptation sans réserve par le Client et son adhésion pleine et entière aux présentes Conditions Générales de Vente (CGV) qui prévalent sur tout autre document du Client, et notamment sur toutes Conditions Générales d’Achat (CGA).</w:t>
      </w:r>
    </w:p>
    <w:p w14:paraId="69370E81" w14:textId="4385CE31" w:rsidR="00293CAC" w:rsidRDefault="00293CAC" w:rsidP="00293CAC">
      <w:pPr>
        <w:shd w:val="clear" w:color="auto" w:fill="FFFFFF"/>
        <w:spacing w:beforeAutospacing="1"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En cas de financement partiel ou total de la Formation via le CPF, les Conditions Générales de Vente du site </w:t>
      </w:r>
      <w:hyperlink r:id="rId7" w:history="1">
        <w:r w:rsidRPr="00293CAC">
          <w:rPr>
            <w:rFonts w:ascii="Open Sans" w:eastAsia="Times New Roman" w:hAnsi="Open Sans" w:cs="Open Sans"/>
            <w:color w:val="007DFF"/>
            <w:bdr w:val="none" w:sz="0" w:space="0" w:color="auto" w:frame="1"/>
            <w:lang w:eastAsia="fr-FR"/>
          </w:rPr>
          <w:t>https://www.moncompteformation.gouv.fr/</w:t>
        </w:r>
      </w:hyperlink>
      <w:r w:rsidRPr="00293CAC">
        <w:rPr>
          <w:rFonts w:ascii="Open Sans" w:eastAsia="Times New Roman" w:hAnsi="Open Sans" w:cs="Open Sans"/>
          <w:color w:val="707070"/>
          <w:lang w:eastAsia="fr-FR"/>
        </w:rPr>
        <w:t> priment sur les présentes Conditions Générales de Vente (CGV) et s’appliquent d’office.</w:t>
      </w:r>
    </w:p>
    <w:p w14:paraId="7F4416C6" w14:textId="77777777" w:rsidR="00C66EF1" w:rsidRPr="00293CAC" w:rsidRDefault="00C66EF1" w:rsidP="00293CAC">
      <w:pPr>
        <w:shd w:val="clear" w:color="auto" w:fill="FFFFFF"/>
        <w:spacing w:beforeAutospacing="1" w:afterAutospacing="1"/>
        <w:rPr>
          <w:rFonts w:ascii="Open Sans" w:eastAsia="Times New Roman" w:hAnsi="Open Sans" w:cs="Open Sans"/>
          <w:color w:val="707070"/>
          <w:lang w:eastAsia="fr-FR"/>
        </w:rPr>
      </w:pPr>
    </w:p>
    <w:p w14:paraId="0034496D"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70F196EA"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3 : DOCUMENTS CONTRACTUELS</w:t>
      </w:r>
    </w:p>
    <w:p w14:paraId="7F377150" w14:textId="02671B6D" w:rsidR="00293CAC" w:rsidRPr="00293CAC" w:rsidRDefault="00F445A6" w:rsidP="00293CAC">
      <w:pPr>
        <w:shd w:val="clear" w:color="auto" w:fill="FFFFFF"/>
        <w:spacing w:before="100" w:beforeAutospacing="1" w:after="100" w:afterAutospacing="1"/>
        <w:rPr>
          <w:rFonts w:ascii="Open Sans" w:eastAsia="Times New Roman" w:hAnsi="Open Sans" w:cs="Open Sans"/>
          <w:color w:val="707070"/>
          <w:lang w:eastAsia="fr-FR"/>
        </w:rPr>
      </w:pPr>
      <w:proofErr w:type="spellStart"/>
      <w:r>
        <w:rPr>
          <w:rFonts w:ascii="Open Sans" w:eastAsia="Times New Roman" w:hAnsi="Open Sans" w:cs="Open Sans"/>
          <w:color w:val="707070"/>
          <w:lang w:eastAsia="fr-FR"/>
        </w:rPr>
        <w:lastRenderedPageBreak/>
        <w:t>MyPotentiailes</w:t>
      </w:r>
      <w:proofErr w:type="spellEnd"/>
      <w:r w:rsidR="00293CAC" w:rsidRPr="00293CAC">
        <w:rPr>
          <w:rFonts w:ascii="Open Sans" w:eastAsia="Times New Roman" w:hAnsi="Open Sans" w:cs="Open Sans"/>
          <w:color w:val="707070"/>
          <w:lang w:eastAsia="fr-FR"/>
        </w:rPr>
        <w:t xml:space="preserve"> fait parvenir au Client, un contrat de formation professionnelle ou une convention de formation professionnelle établie selon les articles L6353-1 et L6353-2 du Code du travail. Le Client s’engage à retourner dans les plus brefs délais à </w:t>
      </w:r>
      <w:proofErr w:type="spellStart"/>
      <w:r w:rsidR="00293CAC">
        <w:rPr>
          <w:rFonts w:ascii="Open Sans" w:eastAsia="Times New Roman" w:hAnsi="Open Sans" w:cs="Open Sans"/>
          <w:color w:val="707070"/>
          <w:lang w:eastAsia="fr-FR"/>
        </w:rPr>
        <w:t>MyPotentiailes</w:t>
      </w:r>
      <w:proofErr w:type="spellEnd"/>
      <w:r w:rsidR="00293CAC" w:rsidRPr="00293CAC">
        <w:rPr>
          <w:rFonts w:ascii="Open Sans" w:eastAsia="Times New Roman" w:hAnsi="Open Sans" w:cs="Open Sans"/>
          <w:color w:val="707070"/>
          <w:lang w:eastAsia="fr-FR"/>
        </w:rPr>
        <w:t xml:space="preserve"> un exemplaire signé du contrat ou de la convention et portant son cachet commercial.</w:t>
      </w:r>
    </w:p>
    <w:p w14:paraId="0D02FE48"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46E1B924" w14:textId="38EFDD61"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 xml:space="preserve">ARTICLE 4 : </w:t>
      </w:r>
      <w:r>
        <w:rPr>
          <w:rFonts w:ascii="Open Sans" w:eastAsia="Times New Roman" w:hAnsi="Open Sans" w:cs="Open Sans"/>
          <w:b/>
          <w:bCs/>
          <w:color w:val="707070"/>
          <w:sz w:val="30"/>
          <w:szCs w:val="30"/>
          <w:lang w:eastAsia="fr-FR"/>
        </w:rPr>
        <w:t>CONDITIONS FINANCIERES</w:t>
      </w:r>
    </w:p>
    <w:p w14:paraId="5C8881A1"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Les factures sont émises à l’inscription.</w:t>
      </w:r>
    </w:p>
    <w:p w14:paraId="7BE1D85F" w14:textId="2D5CCDC1"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L’acceptation de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étant conditionnée par le règlement intégral de la facture, </w:t>
      </w: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 xml:space="preserve">se réserve expressément le droit de disposer librement des places retenues par le Client, tant que les frais d’inscription n’auront pas été couverts dans les conditions prévues ci-dessous. </w:t>
      </w: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se réserve la possibilité d’ajourner une session de Formation et ce sans indemnités, au plus tard 5 jours ouvrés avant la date prévue, pour des raisons pédagogiques.</w:t>
      </w:r>
    </w:p>
    <w:p w14:paraId="2236C161" w14:textId="7A067DF5"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Une proposition commerciale et financière sera préalablement établie par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L’inscription est validée sous réserve du paiement intégral de la Formation. Des facilités de paiement en plusieurs fois peuvent être proposés au Client. En cas de paiement en plusieurs fois, le non-paiement d’une échéance, après mise en demeure restée sans effet dans les 5 jours ouvrés, </w:t>
      </w: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se réserve la faculté de suspendre toute Formation en cours et /ou à venir.</w:t>
      </w:r>
    </w:p>
    <w:p w14:paraId="29A56C4C"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4A387314"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5 : ANNULATION/REPORT DES FORMATIONS PAR LE CLIENT</w:t>
      </w:r>
    </w:p>
    <w:p w14:paraId="72A3AD70"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Toute annulation ou de demande report d’une Formation par le Client doit être communiquée par écrit.</w:t>
      </w:r>
    </w:p>
    <w:p w14:paraId="0C41A677"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lastRenderedPageBreak/>
        <w:t>À compter de la date de signature du contrat de formation ou de la convention de formation, le Client a un délai de 10 jours pour se rétracter. Le délai de rétractation est porté à 14 jours (article L.121-16 du Code de la consommation) pour les contrats conclus « à distance » et les contrats conclus « hors établissement ».</w:t>
      </w:r>
    </w:p>
    <w:p w14:paraId="4D9BD19C"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Passé ce délai, la Formation est due dans son intégralité en cas d’annulation de la Formation. Le paiement d’une pénalité forfaitaire égale à 10% du montant totale de la Formation sera demandé au Client en cas de demande de report effectif de la Formation. Si le report n’est pas possible, la Formation sera due dans son intégralité.</w:t>
      </w:r>
    </w:p>
    <w:p w14:paraId="6DC53838"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420AA16C" w14:textId="77777777" w:rsidR="00293CAC" w:rsidRPr="00293CAC" w:rsidRDefault="00293CAC" w:rsidP="00293CAC">
      <w:pPr>
        <w:shd w:val="clear" w:color="auto" w:fill="FFFFFF"/>
        <w:spacing w:beforeAutospacing="1" w:afterAutospacing="1"/>
        <w:rPr>
          <w:rFonts w:ascii="Open Sans" w:eastAsia="Times New Roman" w:hAnsi="Open Sans" w:cs="Open Sans"/>
          <w:color w:val="707070"/>
          <w:lang w:eastAsia="fr-FR"/>
        </w:rPr>
      </w:pPr>
      <w:r w:rsidRPr="00293CAC">
        <w:rPr>
          <w:rFonts w:ascii="inherit" w:eastAsia="Times New Roman" w:hAnsi="inherit" w:cs="Open Sans"/>
          <w:b/>
          <w:bCs/>
          <w:color w:val="707070"/>
          <w:bdr w:val="none" w:sz="0" w:space="0" w:color="auto" w:frame="1"/>
          <w:lang w:eastAsia="fr-FR"/>
        </w:rPr>
        <w:t>REMPLACEMENT D’UN PARTICIPANT</w:t>
      </w:r>
    </w:p>
    <w:p w14:paraId="2CDF876C" w14:textId="375C8AD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offre au Client la possibilité de remplacer un participant sans facturation supplémentaire jusqu’à 3 jours ouvrés avant la session de Formation concernée.</w:t>
      </w:r>
    </w:p>
    <w:p w14:paraId="165B1640"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Toute demande de remplacement devra être adressée par écrit.</w:t>
      </w:r>
    </w:p>
    <w:p w14:paraId="3F714AD3"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7850559E"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6 : PRIX ET RÈGLEMENTS</w:t>
      </w:r>
    </w:p>
    <w:p w14:paraId="3CF18DDA" w14:textId="504F6538"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Tous nos prix sont indiqués en euros et hors taxes. Ils sont à majorer de la TVA au taux en vigueur (sauf pour les sociétés exonérées de TVA). Toute Formation commencée est due en entier. Les factures sont payables en euros, à réception, sans escompte et à l’ordre de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w:t>
      </w:r>
    </w:p>
    <w:p w14:paraId="19DBBCFD"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Toute somme non payée à l’échéance donnera lieu au paiement par le Client de pénalités de retard au taux d’intérêt appliqué par la Banque centrale </w:t>
      </w:r>
      <w:r w:rsidRPr="00293CAC">
        <w:rPr>
          <w:rFonts w:ascii="Open Sans" w:eastAsia="Times New Roman" w:hAnsi="Open Sans" w:cs="Open Sans"/>
          <w:color w:val="707070"/>
          <w:lang w:eastAsia="fr-FR"/>
        </w:rPr>
        <w:lastRenderedPageBreak/>
        <w:t>européenne à son opération de refinancement la plus récente majoré de 10 points de pourcentage.</w:t>
      </w:r>
    </w:p>
    <w:p w14:paraId="1DEDF2C1"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Ces pénalités sont exigibles de plein droit, dès réception de l’avis informant le Client qu’elles ont été portées à son débit. Outre les pénalités constatées en cas de retard de paiement, le Client sera redevable d’une indemnité forfaitaire de 40€ pour frais de recouvrement conformément aux articles L441-6 c. com. et D. 441-5 c. com.</w:t>
      </w:r>
    </w:p>
    <w:p w14:paraId="4C869C78" w14:textId="36FD425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se réserve néanmoins le droit de réclamer une indemnisation complémentaire, sur justification, lorsque les frais réellement exposés sont supérieurs à ce montant.</w:t>
      </w:r>
    </w:p>
    <w:p w14:paraId="632D96EF"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67044BE1"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7 : RÈGLEMENT PAR UN OPCO</w:t>
      </w:r>
    </w:p>
    <w:p w14:paraId="2ADFD6A6"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Si le Client souhaite que le règlement soit émis par l’OPCO dont il dépend, il lui appartient :</w:t>
      </w:r>
    </w:p>
    <w:p w14:paraId="683A64F6" w14:textId="77777777" w:rsidR="00293CAC" w:rsidRPr="00293CAC" w:rsidRDefault="00293CAC" w:rsidP="00293CAC">
      <w:pPr>
        <w:numPr>
          <w:ilvl w:val="0"/>
          <w:numId w:val="2"/>
        </w:numPr>
        <w:shd w:val="clear" w:color="auto" w:fill="FFFFFF"/>
        <w:spacing w:after="150"/>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De faire une demande de prise en charge avant le début de la Formation et de s’assurer de la bonne fin de cette demande,</w:t>
      </w:r>
    </w:p>
    <w:p w14:paraId="23401639" w14:textId="77777777" w:rsidR="00293CAC" w:rsidRPr="00293CAC" w:rsidRDefault="00293CAC" w:rsidP="00293CAC">
      <w:pPr>
        <w:numPr>
          <w:ilvl w:val="0"/>
          <w:numId w:val="2"/>
        </w:numPr>
        <w:shd w:val="clear" w:color="auto" w:fill="FFFFFF"/>
        <w:spacing w:after="150"/>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De l’indiquer explicitement sur son bulletin d’inscription ou sur son bon de commande ;</w:t>
      </w:r>
    </w:p>
    <w:p w14:paraId="6CA14EEA" w14:textId="77777777" w:rsidR="00293CAC" w:rsidRPr="00293CAC" w:rsidRDefault="00293CAC" w:rsidP="00293CAC">
      <w:pPr>
        <w:numPr>
          <w:ilvl w:val="0"/>
          <w:numId w:val="2"/>
        </w:numPr>
        <w:shd w:val="clear" w:color="auto" w:fill="FFFFFF"/>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De s’assurer de la bonne fin du paiement par l’OPCO qu’il aura désigné.</w:t>
      </w:r>
    </w:p>
    <w:p w14:paraId="035D486B" w14:textId="4FD6B576" w:rsidR="00293CAC" w:rsidRPr="00293CAC" w:rsidRDefault="00293CAC" w:rsidP="00293CAC">
      <w:pPr>
        <w:shd w:val="clear" w:color="auto" w:fill="FFFFFF"/>
        <w:spacing w:beforeAutospacing="1"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Si l’OPCO ne prend en charge que partiellement le coût de la Formation, le reliquat sera facturé au Client. Si </w:t>
      </w: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n’a pas reçu l’accord de prise en charge de l’OPCO au 1</w:t>
      </w:r>
      <w:r w:rsidRPr="00293CAC">
        <w:rPr>
          <w:rFonts w:ascii="inherit" w:eastAsia="Times New Roman" w:hAnsi="inherit" w:cs="Open Sans"/>
          <w:color w:val="707070"/>
          <w:sz w:val="14"/>
          <w:szCs w:val="14"/>
          <w:bdr w:val="none" w:sz="0" w:space="0" w:color="auto" w:frame="1"/>
          <w:vertAlign w:val="superscript"/>
          <w:lang w:eastAsia="fr-FR"/>
        </w:rPr>
        <w:t>er</w:t>
      </w:r>
      <w:r w:rsidRPr="00293CAC">
        <w:rPr>
          <w:rFonts w:ascii="Open Sans" w:eastAsia="Times New Roman" w:hAnsi="Open Sans" w:cs="Open Sans"/>
          <w:color w:val="707070"/>
          <w:lang w:eastAsia="fr-FR"/>
        </w:rPr>
        <w:t> jour de la Formation, le Client sera facturé de l’intégralité du coût du stage. En cas de non-paiement par l’OPCO, pour quelque motif que ce soit, le Client sera redevable de l’intégralité du coût de la Formation et sera facturé du montant correspondant.</w:t>
      </w:r>
    </w:p>
    <w:p w14:paraId="2CAFE972"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lastRenderedPageBreak/>
        <w:t> </w:t>
      </w:r>
    </w:p>
    <w:p w14:paraId="739B7335"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8 : REFUS DE COMMANDE</w:t>
      </w:r>
    </w:p>
    <w:p w14:paraId="2D9FAC52" w14:textId="121DC9BC"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Dans le cas où un Client passerait une commande à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sans avoir procédé au paiement de la (des) commande(s) précédente(s), </w:t>
      </w:r>
      <w:proofErr w:type="spellStart"/>
      <w:r>
        <w:rPr>
          <w:rFonts w:ascii="Open Sans" w:eastAsia="Times New Roman" w:hAnsi="Open Sans" w:cs="Open Sans"/>
          <w:color w:val="707070"/>
          <w:lang w:eastAsia="fr-FR"/>
        </w:rPr>
        <w:t>MyPotentiailes</w:t>
      </w:r>
      <w:proofErr w:type="spellEnd"/>
      <w:r>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pourra refuser d’honorer la commande et de délivrer les Formations concernées, sans que le Client puisse prétendre à une quelconque indemnité, pour quelque raison que ce soit.</w:t>
      </w:r>
    </w:p>
    <w:p w14:paraId="61A28733"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33299F52"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9 : INFORMATIQUE ET LIBERTÉS</w:t>
      </w:r>
    </w:p>
    <w:p w14:paraId="5ED1E6ED" w14:textId="2E03AF59"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Le Client est informé que les informations à caractère personnel qui sont communiquées à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en application et dans l’exécution des commandes et/ou ventes pourront être communiquées aux partenaires contractuels de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pour les besoins desdites commandes. Conformément à la loi n°78-17 du 6 janvier 1978, dite Loi Informatique et Libertés, mise à jour par la loi du 20 Juin 2018 et désormais en conformité avec le Règlement général sur la protection des données (RGPD) du 27 avril 2016, le Client dispose d’un droit d’accès, de rectification et d’opposition aux données personnelles le concernant. Ce droit est exerçable en faisant une demande par </w:t>
      </w:r>
      <w:proofErr w:type="gramStart"/>
      <w:r w:rsidRPr="00293CAC">
        <w:rPr>
          <w:rFonts w:ascii="Open Sans" w:eastAsia="Times New Roman" w:hAnsi="Open Sans" w:cs="Open Sans"/>
          <w:color w:val="707070"/>
          <w:lang w:eastAsia="fr-FR"/>
        </w:rPr>
        <w:t>email</w:t>
      </w:r>
      <w:proofErr w:type="gramEnd"/>
      <w:r w:rsidRPr="00293CAC">
        <w:rPr>
          <w:rFonts w:ascii="Open Sans" w:eastAsia="Times New Roman" w:hAnsi="Open Sans" w:cs="Open Sans"/>
          <w:color w:val="707070"/>
          <w:lang w:eastAsia="fr-FR"/>
        </w:rPr>
        <w:t xml:space="preserve"> ou par courrier adressé à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w:t>
      </w:r>
    </w:p>
    <w:p w14:paraId="3594FFA5"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302025D9"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10 : PROPRIÉTÉ INTELLECTUELLE</w:t>
      </w:r>
    </w:p>
    <w:p w14:paraId="5C58C58E" w14:textId="17D8C7AE"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Les droits de reproduction, d’utilisation, de diffusion, d’adaptation, de modification, d’exploitation des supports de la Formation</w:t>
      </w:r>
      <w:r>
        <w:rPr>
          <w:rFonts w:ascii="Open Sans" w:eastAsia="Times New Roman" w:hAnsi="Open Sans" w:cs="Open Sans"/>
          <w:color w:val="707070"/>
          <w:lang w:eastAsia="fr-FR"/>
        </w:rPr>
        <w:t xml:space="preserve"> du Bilan de compétences</w:t>
      </w:r>
      <w:r w:rsidRPr="00293CAC">
        <w:rPr>
          <w:rFonts w:ascii="Open Sans" w:eastAsia="Times New Roman" w:hAnsi="Open Sans" w:cs="Open Sans"/>
          <w:color w:val="707070"/>
          <w:lang w:eastAsia="fr-FR"/>
        </w:rPr>
        <w:t xml:space="preserve"> restent la propriété exclusive de ORIENTACTION PARIS et ne peuvent donc pas être cédés au Client.</w:t>
      </w:r>
    </w:p>
    <w:p w14:paraId="549FBC9D"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lastRenderedPageBreak/>
        <w:t> </w:t>
      </w:r>
    </w:p>
    <w:p w14:paraId="0F13BFAF"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11 : DÉMATÉRIALISATION DES SUPPORTS</w:t>
      </w:r>
    </w:p>
    <w:p w14:paraId="03AD5E97" w14:textId="51FA781E"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Dans le cadre d’un engagement de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pour l’environnement, les supports fournis pour les sessions de Formation sont</w:t>
      </w:r>
      <w:r w:rsidR="00F445A6">
        <w:rPr>
          <w:rFonts w:ascii="Open Sans" w:eastAsia="Times New Roman" w:hAnsi="Open Sans" w:cs="Open Sans"/>
          <w:color w:val="707070"/>
          <w:lang w:eastAsia="fr-FR"/>
        </w:rPr>
        <w:t xml:space="preserve"> principalement</w:t>
      </w:r>
      <w:r w:rsidRPr="00293CAC">
        <w:rPr>
          <w:rFonts w:ascii="Open Sans" w:eastAsia="Times New Roman" w:hAnsi="Open Sans" w:cs="Open Sans"/>
          <w:color w:val="707070"/>
          <w:lang w:eastAsia="fr-FR"/>
        </w:rPr>
        <w:t xml:space="preserve"> des supports dématérialisés.</w:t>
      </w:r>
    </w:p>
    <w:p w14:paraId="2D127B4F"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39113EDF"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12 : RESPONSABILITÉ</w:t>
      </w:r>
    </w:p>
    <w:p w14:paraId="65A5BB30" w14:textId="22E4291F"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pourra être tenu responsable de tout dommage direct subi par le Client et résultant de l’exécution des Formation. L’indemnité due au Client, en réparation de son préjudice, ne pourra dépasser le montant correspondant aux sommes versées par le Client à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au titre de l’année civile pendant laquelle le dommage a eu lieu.</w:t>
      </w:r>
    </w:p>
    <w:p w14:paraId="220B19E6"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1EED50E4"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13 : CONFIDENTIALITÉ</w:t>
      </w:r>
    </w:p>
    <w:p w14:paraId="1145077C" w14:textId="19DED06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Toutes informations (hormis celles accessibles au public) dont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ou le Client aura eu connaissance ou qui auront été communiquées par l’autre partie ou par un client un tiers, antérieurement ou durant l’exécution du contrat, sont strictement confidentielles et chacune des parties s’interdit de les divulguer. Pour les besoins de l’exécution des prestations, chacune des parties n’est autorisée à communiquer les informations susvisées qu’à ses préposés et/ou éventuels sous-traitants autorisés ; chacune des parties se porte fort du respect de cette obligation par ses préposés et/ou éventuels sous-traitants.</w:t>
      </w:r>
    </w:p>
    <w:p w14:paraId="203CCC8E" w14:textId="15A514E1"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Chacune des parties s’engage à restituer (ou détruire, au choix de l’autre partie) lesdites informations ainsi que leur copie, dans les 5 jours ouvrés après le terme </w:t>
      </w:r>
      <w:r w:rsidRPr="00293CAC">
        <w:rPr>
          <w:rFonts w:ascii="Open Sans" w:eastAsia="Times New Roman" w:hAnsi="Open Sans" w:cs="Open Sans"/>
          <w:color w:val="707070"/>
          <w:lang w:eastAsia="fr-FR"/>
        </w:rPr>
        <w:lastRenderedPageBreak/>
        <w:t xml:space="preserve">ou la résiliation du contrat ou du bon de commande, sur simple demande de l’autre partie. La présente clause autorise </w:t>
      </w:r>
      <w:proofErr w:type="spellStart"/>
      <w:r>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à communiquer les informations au sein du Groupe ORIENTACTION</w:t>
      </w:r>
      <w:r w:rsidR="00F445A6">
        <w:rPr>
          <w:rFonts w:ascii="Open Sans" w:eastAsia="Times New Roman" w:hAnsi="Open Sans" w:cs="Open Sans"/>
          <w:color w:val="707070"/>
          <w:lang w:eastAsia="fr-FR"/>
        </w:rPr>
        <w:t xml:space="preserve"> pour le bilan de compétences uniquement</w:t>
      </w:r>
      <w:r w:rsidRPr="00293CAC">
        <w:rPr>
          <w:rFonts w:ascii="Open Sans" w:eastAsia="Times New Roman" w:hAnsi="Open Sans" w:cs="Open Sans"/>
          <w:color w:val="707070"/>
          <w:lang w:eastAsia="fr-FR"/>
        </w:rPr>
        <w:t>. Les Parties seront liées par la présente obligation de confidentialité pendant une durée de deux ans à compter de la cessation de leurs relations contractuelles.</w:t>
      </w:r>
    </w:p>
    <w:p w14:paraId="57803961"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6D261740"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14 : COMMUNICATION</w:t>
      </w:r>
    </w:p>
    <w:p w14:paraId="6956EA5C" w14:textId="425C75C0"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Le Client autorise expressément </w:t>
      </w:r>
      <w:proofErr w:type="spellStart"/>
      <w:r w:rsidR="00CE2FE1">
        <w:rPr>
          <w:rFonts w:ascii="Open Sans" w:eastAsia="Times New Roman" w:hAnsi="Open Sans" w:cs="Open Sans"/>
          <w:color w:val="707070"/>
          <w:lang w:eastAsia="fr-FR"/>
        </w:rPr>
        <w:t>MyPotentiailes</w:t>
      </w:r>
      <w:proofErr w:type="spellEnd"/>
      <w:r w:rsidR="00CE2FE1">
        <w:rPr>
          <w:rFonts w:ascii="Open Sans" w:eastAsia="Times New Roman" w:hAnsi="Open Sans" w:cs="Open Sans"/>
          <w:color w:val="707070"/>
          <w:lang w:eastAsia="fr-FR"/>
        </w:rPr>
        <w:t xml:space="preserve"> </w:t>
      </w:r>
      <w:r w:rsidRPr="00293CAC">
        <w:rPr>
          <w:rFonts w:ascii="Open Sans" w:eastAsia="Times New Roman" w:hAnsi="Open Sans" w:cs="Open Sans"/>
          <w:color w:val="707070"/>
          <w:lang w:eastAsia="fr-FR"/>
        </w:rPr>
        <w:t>à mentionner son nom, son logo et à faire mention à titre de références de la souscription à une commande et de toute opération découlant de son application dans l’ensemble de leurs documents commerciaux.</w:t>
      </w:r>
    </w:p>
    <w:p w14:paraId="4669ABDB"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5EF2C1A1"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15 : RENONCIATION</w:t>
      </w:r>
    </w:p>
    <w:p w14:paraId="21FB2BDC" w14:textId="2FFAC296"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Le fait pour </w:t>
      </w:r>
      <w:proofErr w:type="spellStart"/>
      <w:r w:rsidR="00CE2FE1">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de ne pas se prévaloir à un moment donné de l’une quelconque des clauses des présentes, ne peut valoir renonciation à se prévaloir ultérieurement de ces mêmes clauses.</w:t>
      </w:r>
    </w:p>
    <w:p w14:paraId="3BCE5FC1"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773C37DE"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16 : LOI APPLICABLE</w:t>
      </w:r>
    </w:p>
    <w:p w14:paraId="5C3827CC" w14:textId="6A865DC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Les Conditions Générales et tous les rapports entre </w:t>
      </w:r>
      <w:proofErr w:type="spellStart"/>
      <w:r w:rsidR="00CE2FE1">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et ses Clients relèvent de la Loi française.</w:t>
      </w:r>
    </w:p>
    <w:p w14:paraId="715BA987"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648399E0"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lastRenderedPageBreak/>
        <w:t>ARTICLE 17 : ATTRIBUTION DE COMPÉTENCES</w:t>
      </w:r>
    </w:p>
    <w:p w14:paraId="27B30DB4" w14:textId="15B1C47B" w:rsidR="00293CAC" w:rsidRPr="00293CAC" w:rsidRDefault="00293CAC" w:rsidP="00293CAC">
      <w:pPr>
        <w:shd w:val="clear" w:color="auto" w:fill="FFFFFF"/>
        <w:spacing w:beforeAutospacing="1"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Tous litiges qui ne pourraient être réglés à l’amiable seront de la </w:t>
      </w:r>
      <w:r w:rsidRPr="00293CAC">
        <w:rPr>
          <w:rFonts w:ascii="inherit" w:eastAsia="Times New Roman" w:hAnsi="inherit" w:cs="Open Sans"/>
          <w:b/>
          <w:bCs/>
          <w:color w:val="707070"/>
          <w:bdr w:val="none" w:sz="0" w:space="0" w:color="auto" w:frame="1"/>
          <w:lang w:eastAsia="fr-FR"/>
        </w:rPr>
        <w:t xml:space="preserve">COMPÉTENCE EXCLUSIVE DU TRIBUNAL DE COMMERCE DU SIÈGE SOCIAL DE </w:t>
      </w:r>
      <w:proofErr w:type="spellStart"/>
      <w:r w:rsidR="00CE2FE1">
        <w:rPr>
          <w:rFonts w:ascii="Open Sans" w:eastAsia="Times New Roman" w:hAnsi="Open Sans" w:cs="Open Sans"/>
          <w:color w:val="707070"/>
          <w:lang w:eastAsia="fr-FR"/>
        </w:rPr>
        <w:t>MyPotentiailes</w:t>
      </w:r>
      <w:proofErr w:type="spellEnd"/>
      <w:r w:rsidRPr="00293CAC">
        <w:rPr>
          <w:rFonts w:ascii="inherit" w:eastAsia="Times New Roman" w:hAnsi="inherit" w:cs="Open Sans"/>
          <w:b/>
          <w:bCs/>
          <w:color w:val="707070"/>
          <w:bdr w:val="none" w:sz="0" w:space="0" w:color="auto" w:frame="1"/>
          <w:lang w:eastAsia="fr-FR"/>
        </w:rPr>
        <w:t xml:space="preserve"> CONCERNÉE PAR LE LITIGE</w:t>
      </w:r>
      <w:r w:rsidRPr="00293CAC">
        <w:rPr>
          <w:rFonts w:ascii="Open Sans" w:eastAsia="Times New Roman" w:hAnsi="Open Sans" w:cs="Open Sans"/>
          <w:color w:val="707070"/>
          <w:lang w:eastAsia="fr-FR"/>
        </w:rPr>
        <w:t xml:space="preserve"> quel que soit la résidence du Client, nonobstant pluralité de défendeurs ou appel en garantie. Cette clause attributive de compétence ne s’appliquera pas au cas de litige avec un Client non professionnel pour lequel les règles légales de compétence matérielle et géographique s’appliqueront. La présente clause est stipulée dans l’intérêt de la société </w:t>
      </w:r>
      <w:proofErr w:type="spellStart"/>
      <w:r w:rsidR="00CE2FE1">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qui se réserve le droit d’y renoncer si bon lui semble.</w:t>
      </w:r>
    </w:p>
    <w:p w14:paraId="1B217860" w14:textId="77777777"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w:t>
      </w:r>
    </w:p>
    <w:p w14:paraId="6E13C760" w14:textId="77777777" w:rsidR="00293CAC" w:rsidRPr="00293CAC" w:rsidRDefault="00293CAC" w:rsidP="00293CAC">
      <w:pPr>
        <w:shd w:val="clear" w:color="auto" w:fill="FFFFFF"/>
        <w:spacing w:after="150"/>
        <w:outlineLvl w:val="1"/>
        <w:rPr>
          <w:rFonts w:ascii="Open Sans" w:eastAsia="Times New Roman" w:hAnsi="Open Sans" w:cs="Open Sans"/>
          <w:b/>
          <w:bCs/>
          <w:color w:val="707070"/>
          <w:sz w:val="30"/>
          <w:szCs w:val="30"/>
          <w:lang w:eastAsia="fr-FR"/>
        </w:rPr>
      </w:pPr>
      <w:r w:rsidRPr="00293CAC">
        <w:rPr>
          <w:rFonts w:ascii="Open Sans" w:eastAsia="Times New Roman" w:hAnsi="Open Sans" w:cs="Open Sans"/>
          <w:b/>
          <w:bCs/>
          <w:color w:val="707070"/>
          <w:sz w:val="30"/>
          <w:szCs w:val="30"/>
          <w:lang w:eastAsia="fr-FR"/>
        </w:rPr>
        <w:t>ARTICLE 18 : ÉLECTION DE DOMICILE</w:t>
      </w:r>
    </w:p>
    <w:p w14:paraId="07D4992D" w14:textId="15925AF0" w:rsidR="00293CAC" w:rsidRPr="00293CAC" w:rsidRDefault="00293CAC" w:rsidP="00293CAC">
      <w:pPr>
        <w:shd w:val="clear" w:color="auto" w:fill="FFFFFF"/>
        <w:spacing w:before="100" w:beforeAutospacing="1" w:after="100" w:afterAutospacing="1"/>
        <w:rPr>
          <w:rFonts w:ascii="Open Sans" w:eastAsia="Times New Roman" w:hAnsi="Open Sans" w:cs="Open Sans"/>
          <w:color w:val="707070"/>
          <w:lang w:eastAsia="fr-FR"/>
        </w:rPr>
      </w:pPr>
      <w:r w:rsidRPr="00293CAC">
        <w:rPr>
          <w:rFonts w:ascii="Open Sans" w:eastAsia="Times New Roman" w:hAnsi="Open Sans" w:cs="Open Sans"/>
          <w:color w:val="707070"/>
          <w:lang w:eastAsia="fr-FR"/>
        </w:rPr>
        <w:t xml:space="preserve">L’élection de domicile est faite par </w:t>
      </w:r>
      <w:proofErr w:type="spellStart"/>
      <w:r w:rsidR="00CE2FE1">
        <w:rPr>
          <w:rFonts w:ascii="Open Sans" w:eastAsia="Times New Roman" w:hAnsi="Open Sans" w:cs="Open Sans"/>
          <w:color w:val="707070"/>
          <w:lang w:eastAsia="fr-FR"/>
        </w:rPr>
        <w:t>MyPotentiailes</w:t>
      </w:r>
      <w:proofErr w:type="spellEnd"/>
      <w:r w:rsidRPr="00293CAC">
        <w:rPr>
          <w:rFonts w:ascii="Open Sans" w:eastAsia="Times New Roman" w:hAnsi="Open Sans" w:cs="Open Sans"/>
          <w:color w:val="707070"/>
          <w:lang w:eastAsia="fr-FR"/>
        </w:rPr>
        <w:t xml:space="preserve"> à son siège social</w:t>
      </w:r>
      <w:r w:rsidR="00CE2FE1">
        <w:rPr>
          <w:rFonts w:ascii="Open Sans" w:eastAsia="Times New Roman" w:hAnsi="Open Sans" w:cs="Open Sans"/>
          <w:color w:val="707070"/>
          <w:lang w:eastAsia="fr-FR"/>
        </w:rPr>
        <w:t xml:space="preserve">, 101 chemin des </w:t>
      </w:r>
      <w:proofErr w:type="spellStart"/>
      <w:r w:rsidR="00CE2FE1">
        <w:rPr>
          <w:rFonts w:ascii="Open Sans" w:eastAsia="Times New Roman" w:hAnsi="Open Sans" w:cs="Open Sans"/>
          <w:color w:val="707070"/>
          <w:lang w:eastAsia="fr-FR"/>
        </w:rPr>
        <w:t>chaudenis</w:t>
      </w:r>
      <w:proofErr w:type="spellEnd"/>
      <w:r w:rsidR="00CE2FE1">
        <w:rPr>
          <w:rFonts w:ascii="Open Sans" w:eastAsia="Times New Roman" w:hAnsi="Open Sans" w:cs="Open Sans"/>
          <w:color w:val="707070"/>
          <w:lang w:eastAsia="fr-FR"/>
        </w:rPr>
        <w:t>, 58320 Parigny Les Vaux.</w:t>
      </w:r>
    </w:p>
    <w:p w14:paraId="44D8BB21" w14:textId="77777777" w:rsidR="00157530" w:rsidRDefault="00157530"/>
    <w:sectPr w:rsidR="00157530" w:rsidSect="000E0A16">
      <w:headerReference w:type="default" r:id="rId8"/>
      <w:footerReference w:type="even" r:id="rId9"/>
      <w:footerReference w:type="default" r:id="rId10"/>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0143" w14:textId="77777777" w:rsidR="00DA4295" w:rsidRDefault="00DA4295" w:rsidP="00CE2FE1">
      <w:r>
        <w:separator/>
      </w:r>
    </w:p>
  </w:endnote>
  <w:endnote w:type="continuationSeparator" w:id="0">
    <w:p w14:paraId="5E188F63" w14:textId="77777777" w:rsidR="00DA4295" w:rsidRDefault="00DA4295" w:rsidP="00CE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57479614"/>
      <w:docPartObj>
        <w:docPartGallery w:val="Page Numbers (Bottom of Page)"/>
        <w:docPartUnique/>
      </w:docPartObj>
    </w:sdtPr>
    <w:sdtContent>
      <w:p w14:paraId="1C7D4BAD" w14:textId="08669BE8" w:rsidR="00CE2FE1" w:rsidRDefault="00CE2FE1" w:rsidP="00454C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821ACF" w14:textId="77777777" w:rsidR="00CE2FE1" w:rsidRDefault="00CE2FE1" w:rsidP="00CE2FE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63747815"/>
      <w:docPartObj>
        <w:docPartGallery w:val="Page Numbers (Bottom of Page)"/>
        <w:docPartUnique/>
      </w:docPartObj>
    </w:sdtPr>
    <w:sdtContent>
      <w:p w14:paraId="50FF2903" w14:textId="21A6A071" w:rsidR="00CE2FE1" w:rsidRDefault="00CE2FE1" w:rsidP="00454C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0235211" w14:textId="0E55059E" w:rsidR="00CE2FE1" w:rsidRDefault="00CE2FE1" w:rsidP="00CE2FE1">
    <w:pPr>
      <w:pStyle w:val="Pieddepage"/>
      <w:ind w:right="360"/>
    </w:pPr>
    <w:r>
      <w:t>V.</w:t>
    </w:r>
    <w:r w:rsidR="00971354">
      <w:t>3</w:t>
    </w:r>
    <w:r>
      <w:t xml:space="preserve"> </w:t>
    </w:r>
    <w:r w:rsidR="00971354">
      <w:t>14/08</w:t>
    </w:r>
    <w:r w:rsidR="00C51FD1">
      <w:t>/2024</w:t>
    </w:r>
  </w:p>
  <w:p w14:paraId="6EEFFA80" w14:textId="77777777" w:rsidR="00971354" w:rsidRPr="00EC4348" w:rsidRDefault="00971354" w:rsidP="00971354">
    <w:pPr>
      <w:autoSpaceDE w:val="0"/>
      <w:autoSpaceDN w:val="0"/>
      <w:adjustRightInd w:val="0"/>
      <w:jc w:val="center"/>
      <w:rPr>
        <w:rFonts w:ascii="Open Sans" w:hAnsi="Open Sans" w:cs="Open Sans"/>
        <w:sz w:val="16"/>
        <w:szCs w:val="16"/>
      </w:rPr>
    </w:pPr>
    <w:proofErr w:type="spellStart"/>
    <w:r w:rsidRPr="00EC4348">
      <w:rPr>
        <w:rFonts w:ascii="Open Sans" w:hAnsi="Open Sans" w:cs="Open Sans"/>
        <w:sz w:val="16"/>
        <w:szCs w:val="16"/>
      </w:rPr>
      <w:t>MyPotentiailes</w:t>
    </w:r>
    <w:proofErr w:type="spellEnd"/>
    <w:r w:rsidRPr="00EC4348">
      <w:rPr>
        <w:rFonts w:ascii="Open Sans" w:hAnsi="Open Sans" w:cs="Open Sans"/>
        <w:sz w:val="16"/>
        <w:szCs w:val="16"/>
      </w:rPr>
      <w:t xml:space="preserve"> 30 rue des petites carrières 58000 Nevers</w:t>
    </w:r>
  </w:p>
  <w:p w14:paraId="076A0188" w14:textId="77777777" w:rsidR="00971354" w:rsidRPr="00EC4348" w:rsidRDefault="00971354" w:rsidP="00971354">
    <w:pPr>
      <w:autoSpaceDE w:val="0"/>
      <w:autoSpaceDN w:val="0"/>
      <w:adjustRightInd w:val="0"/>
      <w:jc w:val="center"/>
      <w:rPr>
        <w:rFonts w:ascii="Open Sans" w:hAnsi="Open Sans" w:cs="Open Sans"/>
        <w:sz w:val="16"/>
        <w:szCs w:val="16"/>
        <w:lang w:val="en-US"/>
      </w:rPr>
    </w:pPr>
    <w:r w:rsidRPr="00EC4348">
      <w:rPr>
        <w:rFonts w:ascii="Open Sans" w:hAnsi="Open Sans" w:cs="Open Sans"/>
        <w:sz w:val="16"/>
        <w:szCs w:val="16"/>
        <w:lang w:val="en-US"/>
      </w:rPr>
      <w:t xml:space="preserve">N° SIRET: 90325172600027 </w:t>
    </w:r>
    <w:hyperlink r:id="rId1" w:history="1">
      <w:r w:rsidRPr="00EC4348">
        <w:rPr>
          <w:rFonts w:ascii="Open Sans" w:hAnsi="Open Sans" w:cs="Open Sans"/>
          <w:sz w:val="16"/>
          <w:szCs w:val="16"/>
          <w:u w:val="single"/>
          <w:lang w:val="en-US"/>
        </w:rPr>
        <w:t>www.mypotentiailes.com</w:t>
      </w:r>
    </w:hyperlink>
  </w:p>
  <w:p w14:paraId="08C969CB" w14:textId="77777777" w:rsidR="00971354" w:rsidRPr="00EC4348" w:rsidRDefault="00971354" w:rsidP="00971354">
    <w:pPr>
      <w:autoSpaceDE w:val="0"/>
      <w:autoSpaceDN w:val="0"/>
      <w:adjustRightInd w:val="0"/>
      <w:jc w:val="center"/>
      <w:rPr>
        <w:rFonts w:ascii="Open Sans" w:hAnsi="Open Sans" w:cs="Open Sans"/>
        <w:sz w:val="16"/>
        <w:szCs w:val="16"/>
        <w:lang w:val="en-US"/>
      </w:rPr>
    </w:pPr>
    <w:r w:rsidRPr="00EC4348">
      <w:rPr>
        <w:rFonts w:ascii="Open Sans" w:hAnsi="Open Sans" w:cs="Open Sans"/>
        <w:sz w:val="16"/>
        <w:szCs w:val="16"/>
        <w:lang w:val="en-US"/>
      </w:rPr>
      <w:t>armelle.naudin@orientaction-groupe.com</w:t>
    </w:r>
  </w:p>
  <w:p w14:paraId="31EC4ABE" w14:textId="77777777" w:rsidR="00971354" w:rsidRPr="00EC4348" w:rsidRDefault="00971354" w:rsidP="00971354">
    <w:pPr>
      <w:autoSpaceDE w:val="0"/>
      <w:autoSpaceDN w:val="0"/>
      <w:adjustRightInd w:val="0"/>
      <w:jc w:val="center"/>
      <w:rPr>
        <w:rFonts w:ascii="Open Sans" w:hAnsi="Open Sans" w:cs="Open Sans"/>
        <w:sz w:val="16"/>
        <w:szCs w:val="16"/>
      </w:rPr>
    </w:pPr>
    <w:r w:rsidRPr="00EC4348">
      <w:rPr>
        <w:rFonts w:ascii="Open Sans" w:hAnsi="Open Sans" w:cs="Open Sans"/>
        <w:sz w:val="16"/>
        <w:szCs w:val="16"/>
      </w:rPr>
      <w:t>Enregistré sous le n° DA 27 58 00858 58 auprès du préfet de la région Bourgogne. Cet enregistrement ne vaut pas agrément de l’État.</w:t>
    </w:r>
  </w:p>
  <w:p w14:paraId="50FC2520" w14:textId="77777777" w:rsidR="00971354" w:rsidRPr="00EC4348" w:rsidRDefault="00971354" w:rsidP="00971354">
    <w:pPr>
      <w:autoSpaceDE w:val="0"/>
      <w:autoSpaceDN w:val="0"/>
      <w:adjustRightInd w:val="0"/>
      <w:jc w:val="center"/>
      <w:rPr>
        <w:rFonts w:ascii="Open Sans" w:hAnsi="Open Sans" w:cs="Open Sans"/>
        <w:sz w:val="16"/>
        <w:szCs w:val="16"/>
      </w:rPr>
    </w:pPr>
    <w:r w:rsidRPr="00EC4348">
      <w:rPr>
        <w:rFonts w:ascii="Open Sans" w:hAnsi="Open Sans" w:cs="Open Sans"/>
        <w:sz w:val="16"/>
        <w:szCs w:val="16"/>
      </w:rPr>
      <w:t>(Art L6352-12 du Code du Travail).</w:t>
    </w:r>
  </w:p>
  <w:p w14:paraId="74292F1D" w14:textId="77777777" w:rsidR="00971354" w:rsidRPr="00EC4348" w:rsidRDefault="00971354" w:rsidP="00971354">
    <w:pPr>
      <w:pStyle w:val="Pieddepage"/>
      <w:ind w:right="360"/>
      <w:jc w:val="center"/>
      <w:rPr>
        <w:rFonts w:ascii="Open Sans" w:hAnsi="Open Sans" w:cs="Open Sans"/>
        <w:sz w:val="16"/>
        <w:szCs w:val="16"/>
      </w:rPr>
    </w:pPr>
    <w:r w:rsidRPr="00EC4348">
      <w:rPr>
        <w:rFonts w:ascii="Open Sans" w:hAnsi="Open Sans" w:cs="Open Sans"/>
        <w:sz w:val="16"/>
        <w:szCs w:val="16"/>
      </w:rPr>
      <w:t>Tél : 06 21 31 01 32</w:t>
    </w:r>
  </w:p>
  <w:p w14:paraId="6AB2D217" w14:textId="77777777" w:rsidR="00FB401A" w:rsidRDefault="00FB401A" w:rsidP="00CE2FE1">
    <w:pPr>
      <w:pStyle w:val="Pieddepage"/>
      <w:ind w:right="360"/>
    </w:pPr>
  </w:p>
  <w:p w14:paraId="386DDE6F" w14:textId="77777777" w:rsidR="00CE2FE1" w:rsidRDefault="00CE2F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BA74" w14:textId="77777777" w:rsidR="00DA4295" w:rsidRDefault="00DA4295" w:rsidP="00CE2FE1">
      <w:r>
        <w:separator/>
      </w:r>
    </w:p>
  </w:footnote>
  <w:footnote w:type="continuationSeparator" w:id="0">
    <w:p w14:paraId="751617BF" w14:textId="77777777" w:rsidR="00DA4295" w:rsidRDefault="00DA4295" w:rsidP="00CE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C066" w14:textId="45390966" w:rsidR="0038743F" w:rsidRPr="008168AF" w:rsidRDefault="00C51FD1" w:rsidP="0038743F">
    <w:pPr>
      <w:pStyle w:val="Titre1"/>
      <w:jc w:val="center"/>
    </w:pPr>
    <w:r>
      <w:rPr>
        <w:noProof/>
      </w:rPr>
      <w:drawing>
        <wp:inline distT="0" distB="0" distL="0" distR="0" wp14:anchorId="382A7994" wp14:editId="67AE1E9A">
          <wp:extent cx="1442545" cy="1442545"/>
          <wp:effectExtent l="0" t="0" r="5715" b="5715"/>
          <wp:docPr id="1636932646" name="Image 1" descr="Une image contenant texte, Police, conceptio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32646" name="Image 1" descr="Une image contenant texte, Police, conceptio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62545" cy="1462545"/>
                  </a:xfrm>
                  <a:prstGeom prst="rect">
                    <a:avLst/>
                  </a:prstGeom>
                </pic:spPr>
              </pic:pic>
            </a:graphicData>
          </a:graphic>
        </wp:inline>
      </w:drawing>
    </w:r>
  </w:p>
  <w:p w14:paraId="68CDCC5E" w14:textId="71144624" w:rsidR="005D6D3D" w:rsidRPr="008168AF" w:rsidRDefault="005D6D3D" w:rsidP="005D6D3D">
    <w:pPr>
      <w:pStyle w:val="Titre1"/>
      <w:jc w:val="center"/>
    </w:pPr>
  </w:p>
  <w:p w14:paraId="3C50F7F9" w14:textId="52742FC6" w:rsidR="005D6D3D" w:rsidRDefault="005D6D3D">
    <w:pPr>
      <w:pStyle w:val="En-tte"/>
    </w:pPr>
  </w:p>
  <w:p w14:paraId="4C098317" w14:textId="77777777" w:rsidR="00CE2FE1" w:rsidRDefault="00CE2F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45CBF"/>
    <w:multiLevelType w:val="multilevel"/>
    <w:tmpl w:val="93DC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46BEA"/>
    <w:multiLevelType w:val="multilevel"/>
    <w:tmpl w:val="764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87876">
    <w:abstractNumId w:val="0"/>
  </w:num>
  <w:num w:numId="2" w16cid:durableId="200717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AC"/>
    <w:rsid w:val="000E0A16"/>
    <w:rsid w:val="00120B87"/>
    <w:rsid w:val="00157530"/>
    <w:rsid w:val="00167C7B"/>
    <w:rsid w:val="001F33A8"/>
    <w:rsid w:val="0026522F"/>
    <w:rsid w:val="00293CAC"/>
    <w:rsid w:val="002D7DF6"/>
    <w:rsid w:val="0038743F"/>
    <w:rsid w:val="003A03DF"/>
    <w:rsid w:val="003C7AF6"/>
    <w:rsid w:val="00422F6D"/>
    <w:rsid w:val="0043543B"/>
    <w:rsid w:val="005D6D3D"/>
    <w:rsid w:val="005F1364"/>
    <w:rsid w:val="00635151"/>
    <w:rsid w:val="00971354"/>
    <w:rsid w:val="00A00A69"/>
    <w:rsid w:val="00AD7659"/>
    <w:rsid w:val="00B9024E"/>
    <w:rsid w:val="00C51FD1"/>
    <w:rsid w:val="00C66EF1"/>
    <w:rsid w:val="00CE2FE1"/>
    <w:rsid w:val="00DA4295"/>
    <w:rsid w:val="00DA45BF"/>
    <w:rsid w:val="00EA7FAD"/>
    <w:rsid w:val="00F445A6"/>
    <w:rsid w:val="00FB4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52B073"/>
  <w14:defaultImageDpi w14:val="32767"/>
  <w15:chartTrackingRefBased/>
  <w15:docId w15:val="{587E1A03-B5C6-9A40-A79B-4222D99A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6D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93CA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93CA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3CA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93CA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93CAC"/>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93CAC"/>
    <w:rPr>
      <w:b/>
      <w:bCs/>
    </w:rPr>
  </w:style>
  <w:style w:type="character" w:styleId="Accentuation">
    <w:name w:val="Emphasis"/>
    <w:basedOn w:val="Policepardfaut"/>
    <w:uiPriority w:val="20"/>
    <w:qFormat/>
    <w:rsid w:val="00293CAC"/>
    <w:rPr>
      <w:i/>
      <w:iCs/>
    </w:rPr>
  </w:style>
  <w:style w:type="paragraph" w:customStyle="1" w:styleId="p1">
    <w:name w:val="p1"/>
    <w:basedOn w:val="Normal"/>
    <w:rsid w:val="00293CAC"/>
    <w:pPr>
      <w:spacing w:before="100" w:beforeAutospacing="1" w:after="100" w:afterAutospacing="1"/>
    </w:pPr>
    <w:rPr>
      <w:rFonts w:ascii="Times New Roman" w:eastAsia="Times New Roman" w:hAnsi="Times New Roman" w:cs="Times New Roman"/>
      <w:lang w:eastAsia="fr-FR"/>
    </w:rPr>
  </w:style>
  <w:style w:type="character" w:customStyle="1" w:styleId="s1">
    <w:name w:val="s1"/>
    <w:basedOn w:val="Policepardfaut"/>
    <w:rsid w:val="00293CAC"/>
  </w:style>
  <w:style w:type="paragraph" w:styleId="En-tte">
    <w:name w:val="header"/>
    <w:basedOn w:val="Normal"/>
    <w:link w:val="En-tteCar"/>
    <w:uiPriority w:val="99"/>
    <w:unhideWhenUsed/>
    <w:rsid w:val="00CE2FE1"/>
    <w:pPr>
      <w:tabs>
        <w:tab w:val="center" w:pos="4536"/>
        <w:tab w:val="right" w:pos="9072"/>
      </w:tabs>
    </w:pPr>
  </w:style>
  <w:style w:type="character" w:customStyle="1" w:styleId="En-tteCar">
    <w:name w:val="En-tête Car"/>
    <w:basedOn w:val="Policepardfaut"/>
    <w:link w:val="En-tte"/>
    <w:uiPriority w:val="99"/>
    <w:rsid w:val="00CE2FE1"/>
  </w:style>
  <w:style w:type="paragraph" w:styleId="Pieddepage">
    <w:name w:val="footer"/>
    <w:basedOn w:val="Normal"/>
    <w:link w:val="PieddepageCar"/>
    <w:uiPriority w:val="99"/>
    <w:unhideWhenUsed/>
    <w:rsid w:val="00CE2FE1"/>
    <w:pPr>
      <w:tabs>
        <w:tab w:val="center" w:pos="4536"/>
        <w:tab w:val="right" w:pos="9072"/>
      </w:tabs>
    </w:pPr>
  </w:style>
  <w:style w:type="character" w:customStyle="1" w:styleId="PieddepageCar">
    <w:name w:val="Pied de page Car"/>
    <w:basedOn w:val="Policepardfaut"/>
    <w:link w:val="Pieddepage"/>
    <w:uiPriority w:val="99"/>
    <w:rsid w:val="00CE2FE1"/>
  </w:style>
  <w:style w:type="character" w:styleId="Numrodepage">
    <w:name w:val="page number"/>
    <w:basedOn w:val="Policepardfaut"/>
    <w:uiPriority w:val="99"/>
    <w:semiHidden/>
    <w:unhideWhenUsed/>
    <w:rsid w:val="00CE2FE1"/>
  </w:style>
  <w:style w:type="character" w:customStyle="1" w:styleId="Titre1Car">
    <w:name w:val="Titre 1 Car"/>
    <w:basedOn w:val="Policepardfaut"/>
    <w:link w:val="Titre1"/>
    <w:uiPriority w:val="9"/>
    <w:rsid w:val="005D6D3D"/>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FB4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ncompteformation.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ypotentiai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1550</Words>
  <Characters>8528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clement@piscines-clement.fr</dc:creator>
  <cp:keywords/>
  <dc:description/>
  <cp:lastModifiedBy>armelle naudin</cp:lastModifiedBy>
  <cp:revision>9</cp:revision>
  <dcterms:created xsi:type="dcterms:W3CDTF">2022-11-20T06:34:00Z</dcterms:created>
  <dcterms:modified xsi:type="dcterms:W3CDTF">2024-08-14T10:08:00Z</dcterms:modified>
</cp:coreProperties>
</file>